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242</w:t>
      </w:r>
    </w:p>
    <w:p>
      <w:r>
        <w:t>Bundesgericht (BGE), 2022-03-09, DE</w:t>
      </w:r>
    </w:p>
    <w:p>
      <w:r>
        <w:rPr>
          <w:b/>
        </w:rPr>
        <w:t xml:space="preserve">Quelle: </w:t>
      </w:r>
      <w:r>
        <w:t>https://mcp.opencaselaw.ch/entscheid/bge_148 III 242</w:t>
      </w:r>
    </w:p>
    <w:p>
      <w:r>
        <w:t>FR: ATF 148 III 242</w:t>
      </w:r>
    </w:p>
    <w:p>
      <w:r>
        <w:t>IT: DTF 148 III 242</w:t>
      </w:r>
    </w:p>
    <w:p>
      <w:pPr>
        <w:pStyle w:val="Heading2"/>
      </w:pPr>
      <w:r>
        <w:t>Regeste</w:t>
      </w:r>
    </w:p>
    <w:p>
      <w:r>
        <w:t>Regeste Art. 3 IPRG; Notzuständigkeit. Die Ungültigkeit einer Gerichtsstandsvereinbarung hat nicht ohne weiteres zur Folge, dass ein von Art. 3 IPRG erfasstes Rechtsschutzdefizit besteht. Die Partei, die sich auf die Notzuständigkeit beruft, muss das Vorliegen der gesetzlichen Voraussetzungen hinlänglich darlegen und nachweisen (E. 5.2.2.3).</w:t>
      </w:r>
    </w:p>
    <w:p>
      <w:pPr>
        <w:pStyle w:val="Heading2"/>
      </w:pPr>
      <w:r>
        <w:t>Erwägungen</w:t>
      </w:r>
    </w:p>
    <w:p>
      <w:r>
        <w:rPr>
          <w:b/>
        </w:rPr>
        <w:t>E. 5</w:t>
      </w:r>
    </w:p>
    <w:p>
      <w:r>
        <w:t>(...) 5.2.2.3 Schliesslich bringt die Beschwerdeführerin vor, im Zusammenhang mit der Willkürrüge seien auch die unhaltbaren Folgen des Nichteintretensentscheids des Handelsgerichts zu beachten. Es bestehe eine erhebliche Rechtsunsicherheit über den Bestand des SPA. Es sei offen, welches Gericht diese Rechtsunsicherheit beseitigen könne. Das Prozessieren am Sitz der Beschwerdegegnerin in den Vereinigten Arabischen Emiraten stelle für die Beschwerdeführerin (mangels Unabhängigkeit der dortigen Justiz) keine zumutbare Alternative dar. Die Beschwerdeführerin postuliert, das Handelsgericht hätte sich aufgrund dieser unhaltbaren Rechtsunsicherheit auch gestützt auf Art. 3 IPRG (SR 291) (Notzuständigkeit) für zuständig erklären können. Sieht das IPRG keine Zuständigkeit in der Schweiz vor und ist ein Verfahren im Ausland nicht möglich oder unzumutbar, so sind die schweizerischen Gerichte oder Behörden am Ort zuständig, mit dem der Sachverhalt einen genügenden Zusammenhang aufweist ( Art. 3 IPRG ). Diese Norm ist restriktiv auszulegen und stellt ein Sicherheitsventil dar, um zu vermeiden, dass ein Rechtssuchender ohne Rechtsschutz bleibt (Urteil 4C.379/2006 vom 22. Mai 2007 E. 3.4). Eine Notzuständigkeit im Sinne von Art. 3 IPRG kann selbstredend nicht dadurch begründet werden, dass die Vertragsparteien es versäumen, eine gültige Gerichtsstandsvereinbarung abzuschliessen, wenn ihnen dies - wie in casu - an sich möglich gewesen wäre. BGE 148 III 242 S. 245 Ebenso wenig resultiert aus der Ungültigkeit einer Gerichtsstandsvereinbarung ohne weiteres, dass ein von Art. 3 IPRG erfasstes Rechtsschutzdefizit besteht. Vielmehr muss die Partei, die sich auf die Notzuständigkeit beruft, das Vorliegen der gesetzlichen Voraussetzungen hinlänglich darlegen und nachweisen (vgl. Urteil 5A_264/ 2013 vom 28. November 2013 E. 3.3.4; LORENZ DROESE, in: Basler Kommentar, Internationales Privatrecht, 4. Aufl. 2021, N. 20 zu Art. 3 IPRG ). Demnach hätte die Beschwerdeführerin die Unmöglichkeit oder Unzumutbarkeit, im Ausland ein Verfahren zu führen, wie auch die weitere Voraussetzung, dass der Sachverhalt einen genügenden Zusammenhang mit der Schweiz aufweist, bereits vor Handelsgericht (eventualiter) dartun müssen. Dies hat sie nicht getan, sondern beruft sich erstmals vor Bundesgericht auf Art. 3 IPRG . Sie kann daher dem Handelsgericht nicht vorwerfen, sich nicht im Sinne von Art. 3 IPRG für zuständig erklärt zu haben, nachdem es die Gerichtsstandsvereinbarung für ungültig befand.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